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5D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Apéndice 2. Valoraciones y matrices de comparación de los subsectores</w:t>
      </w:r>
    </w:p>
    <w:p w:rsidR="001245D5" w:rsidRPr="001245D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b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sz w:val="24"/>
          <w:szCs w:val="24"/>
        </w:rPr>
        <w:t xml:space="preserve">Las valoraciones para completar la matriz de </w:t>
      </w:r>
      <w:r w:rsidRPr="00730A65">
        <w:rPr>
          <w:rFonts w:cs="Times New Roman"/>
          <w:b/>
          <w:sz w:val="24"/>
          <w:szCs w:val="24"/>
        </w:rPr>
        <w:t>Apuestas Regionales</w:t>
      </w:r>
      <w:r w:rsidRPr="00730A6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fueron</w:t>
      </w:r>
      <w:r w:rsidRPr="00730A65">
        <w:rPr>
          <w:rFonts w:cs="Times New Roman"/>
          <w:sz w:val="24"/>
          <w:szCs w:val="24"/>
        </w:rPr>
        <w:t xml:space="preserve"> las siguientes: </w:t>
      </w:r>
    </w:p>
    <w:p w:rsidR="001245D5" w:rsidRPr="00730A6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10 =</w:t>
      </w:r>
      <w:r w:rsidRPr="00730A65">
        <w:rPr>
          <w:rFonts w:cs="Times New Roman"/>
          <w:sz w:val="24"/>
          <w:szCs w:val="24"/>
        </w:rPr>
        <w:t xml:space="preserve"> Mucho más importante/ si oscila entre el [8,6% al 14,2%]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5 =</w:t>
      </w:r>
      <w:r w:rsidRPr="00730A65">
        <w:rPr>
          <w:rFonts w:cs="Times New Roman"/>
          <w:sz w:val="24"/>
          <w:szCs w:val="24"/>
        </w:rPr>
        <w:t xml:space="preserve"> Más importante/ si oscila entre el [2,9% al 8,52%]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 =</w:t>
      </w:r>
      <w:r w:rsidRPr="00730A65">
        <w:rPr>
          <w:rFonts w:cs="Times New Roman"/>
          <w:sz w:val="24"/>
          <w:szCs w:val="24"/>
        </w:rPr>
        <w:t xml:space="preserve"> Igual/ si oscila entre el [-2,7% al 2,84%]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1/5 =</w:t>
      </w:r>
      <w:r w:rsidRPr="00730A65">
        <w:rPr>
          <w:rFonts w:cs="Times New Roman"/>
          <w:sz w:val="24"/>
          <w:szCs w:val="24"/>
        </w:rPr>
        <w:t xml:space="preserve"> Menos importante/ si oscila entre el [-8,4% al -2,84%]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  <w:sectPr w:rsidR="001245D5" w:rsidRPr="00730A65" w:rsidSect="00365CCC">
          <w:pgSz w:w="12240" w:h="15840"/>
          <w:pgMar w:top="1701" w:right="1134" w:bottom="1701" w:left="2268" w:header="709" w:footer="709" w:gutter="0"/>
          <w:cols w:space="708"/>
          <w:docGrid w:linePitch="360"/>
        </w:sectPr>
      </w:pPr>
      <w:r w:rsidRPr="00730A65">
        <w:rPr>
          <w:rFonts w:cs="Times New Roman"/>
          <w:b/>
          <w:sz w:val="24"/>
          <w:szCs w:val="24"/>
        </w:rPr>
        <w:t>1/10 =</w:t>
      </w:r>
      <w:r w:rsidRPr="00730A65">
        <w:rPr>
          <w:rFonts w:cs="Times New Roman"/>
          <w:sz w:val="24"/>
          <w:szCs w:val="24"/>
        </w:rPr>
        <w:t xml:space="preserve"> Mucho menos importante/ si oscila entre el [-8,4% al -2,84%]</w:t>
      </w:r>
    </w:p>
    <w:p w:rsidR="001245D5" w:rsidRPr="007212F0" w:rsidRDefault="001245D5" w:rsidP="001245D5">
      <w:pPr>
        <w:spacing w:line="240" w:lineRule="auto"/>
        <w:rPr>
          <w:b/>
        </w:rPr>
      </w:pPr>
      <w:bookmarkStart w:id="0" w:name="_Toc447880997"/>
    </w:p>
    <w:bookmarkEnd w:id="0"/>
    <w:p w:rsidR="001C2E46" w:rsidRDefault="001C2E46" w:rsidP="001C2E46">
      <w:r w:rsidRPr="001C2E46">
        <w:rPr>
          <w:b/>
        </w:rPr>
        <w:t xml:space="preserve">Tabla </w:t>
      </w:r>
      <w:r w:rsidRPr="001C2E46">
        <w:rPr>
          <w:b/>
        </w:rPr>
        <w:fldChar w:fldCharType="begin"/>
      </w:r>
      <w:r w:rsidRPr="001C2E46">
        <w:rPr>
          <w:b/>
        </w:rPr>
        <w:instrText xml:space="preserve"> SEQ Tabla \* ARABIC </w:instrText>
      </w:r>
      <w:r w:rsidRPr="001C2E46">
        <w:rPr>
          <w:b/>
        </w:rPr>
        <w:fldChar w:fldCharType="separate"/>
      </w:r>
      <w:r w:rsidRPr="001C2E46">
        <w:rPr>
          <w:b/>
          <w:noProof/>
        </w:rPr>
        <w:t>1</w:t>
      </w:r>
      <w:r w:rsidRPr="001C2E46">
        <w:rPr>
          <w:b/>
        </w:rPr>
        <w:fldChar w:fldCharType="end"/>
      </w:r>
      <w:r w:rsidRPr="001C2E46">
        <w:rPr>
          <w:b/>
        </w:rPr>
        <w:t>.</w:t>
      </w:r>
      <w:r>
        <w:t xml:space="preserve"> </w:t>
      </w:r>
    </w:p>
    <w:p w:rsidR="001C2E46" w:rsidRDefault="001C2E46" w:rsidP="001C2E46">
      <w:r w:rsidRPr="005F6F42">
        <w:t>Apuestas Regionales</w:t>
      </w:r>
    </w:p>
    <w:tbl>
      <w:tblPr>
        <w:tblStyle w:val="Tablaconcuadrcula"/>
        <w:tblpPr w:leftFromText="141" w:rightFromText="141" w:vertAnchor="page" w:horzAnchor="margin" w:tblpXSpec="center" w:tblpY="1998"/>
        <w:tblW w:w="13584" w:type="dxa"/>
        <w:tblLook w:val="04A0" w:firstRow="1" w:lastRow="0" w:firstColumn="1" w:lastColumn="0" w:noHBand="0" w:noVBand="1"/>
      </w:tblPr>
      <w:tblGrid>
        <w:gridCol w:w="1903"/>
        <w:gridCol w:w="1374"/>
        <w:gridCol w:w="1331"/>
        <w:gridCol w:w="1185"/>
        <w:gridCol w:w="1243"/>
        <w:gridCol w:w="1402"/>
        <w:gridCol w:w="822"/>
        <w:gridCol w:w="1475"/>
        <w:gridCol w:w="1128"/>
        <w:gridCol w:w="1721"/>
      </w:tblGrid>
      <w:tr w:rsidR="001C2E46" w:rsidRPr="00730A65" w:rsidTr="001C2E46">
        <w:trPr>
          <w:trHeight w:val="1508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Apuestas regionales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Cárnicos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Aceites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Lácteos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Molinería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Café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Confitería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Calificación del Subsector </w:t>
            </w:r>
          </w:p>
        </w:tc>
      </w:tr>
      <w:tr w:rsidR="001C2E46" w:rsidRPr="00730A65" w:rsidTr="001C2E46">
        <w:trPr>
          <w:trHeight w:val="628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Cárnicos </w:t>
            </w:r>
          </w:p>
        </w:tc>
        <w:tc>
          <w:tcPr>
            <w:tcW w:w="1374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0,21</w:t>
            </w:r>
          </w:p>
        </w:tc>
      </w:tr>
      <w:tr w:rsidR="001C2E46" w:rsidRPr="00730A65" w:rsidTr="001C2E46">
        <w:trPr>
          <w:trHeight w:val="699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331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10,7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0,08</w:t>
            </w:r>
          </w:p>
        </w:tc>
      </w:tr>
      <w:tr w:rsidR="001C2E46" w:rsidRPr="00730A65" w:rsidTr="001C2E46">
        <w:trPr>
          <w:trHeight w:val="628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Aceites 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85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23,2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0,18</w:t>
            </w:r>
          </w:p>
        </w:tc>
      </w:tr>
      <w:tr w:rsidR="001C2E46" w:rsidRPr="00730A65" w:rsidTr="001C2E46">
        <w:trPr>
          <w:trHeight w:val="699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Lácteos 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0,02</w:t>
            </w:r>
          </w:p>
        </w:tc>
      </w:tr>
      <w:tr w:rsidR="001C2E46" w:rsidRPr="00730A65" w:rsidTr="001C2E46">
        <w:trPr>
          <w:trHeight w:val="699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Molinería 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02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27,2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0,21</w:t>
            </w:r>
          </w:p>
        </w:tc>
      </w:tr>
      <w:tr w:rsidR="001C2E46" w:rsidRPr="00730A65" w:rsidTr="001C2E46">
        <w:trPr>
          <w:trHeight w:val="628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Café 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822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1,6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0,012</w:t>
            </w:r>
          </w:p>
        </w:tc>
      </w:tr>
      <w:tr w:rsidR="001C2E46" w:rsidRPr="00730A65" w:rsidTr="001C2E46">
        <w:trPr>
          <w:trHeight w:val="699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Confitería 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75" w:type="dxa"/>
            <w:shd w:val="clear" w:color="auto" w:fill="0070C0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0,28</w:t>
            </w:r>
          </w:p>
        </w:tc>
      </w:tr>
      <w:tr w:rsidR="001C2E46" w:rsidRPr="00730A65" w:rsidTr="001C2E46">
        <w:trPr>
          <w:trHeight w:val="699"/>
        </w:trPr>
        <w:tc>
          <w:tcPr>
            <w:tcW w:w="190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TOTALES </w:t>
            </w:r>
          </w:p>
        </w:tc>
        <w:tc>
          <w:tcPr>
            <w:tcW w:w="1374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33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20,6</w:t>
            </w:r>
          </w:p>
        </w:tc>
        <w:tc>
          <w:tcPr>
            <w:tcW w:w="118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243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40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7,4</w:t>
            </w:r>
          </w:p>
        </w:tc>
        <w:tc>
          <w:tcPr>
            <w:tcW w:w="822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475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1128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130,2</w:t>
            </w:r>
          </w:p>
        </w:tc>
        <w:tc>
          <w:tcPr>
            <w:tcW w:w="1721" w:type="dxa"/>
            <w:vAlign w:val="center"/>
          </w:tcPr>
          <w:p w:rsidR="001C2E46" w:rsidRPr="00730A65" w:rsidRDefault="001C2E46" w:rsidP="001C2E46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1,00</w:t>
            </w:r>
          </w:p>
        </w:tc>
      </w:tr>
    </w:tbl>
    <w:p w:rsidR="001245D5" w:rsidRPr="00730A65" w:rsidRDefault="001245D5" w:rsidP="001245D5">
      <w:pPr>
        <w:spacing w:line="240" w:lineRule="auto"/>
      </w:pPr>
      <w:r w:rsidRPr="00730A65">
        <w:t xml:space="preserve">Fuente: Elaboración propia </w:t>
      </w:r>
    </w:p>
    <w:p w:rsidR="001245D5" w:rsidRDefault="001245D5" w:rsidP="001245D5">
      <w:pPr>
        <w:jc w:val="both"/>
        <w:rPr>
          <w:rFonts w:cs="Times New Roman"/>
          <w:sz w:val="24"/>
          <w:szCs w:val="24"/>
        </w:rPr>
        <w:sectPr w:rsidR="001245D5" w:rsidSect="001C2E46">
          <w:pgSz w:w="15840" w:h="12240" w:orient="landscape"/>
          <w:pgMar w:top="709" w:right="1701" w:bottom="1134" w:left="1701" w:header="709" w:footer="709" w:gutter="0"/>
          <w:cols w:space="708"/>
          <w:docGrid w:linePitch="360"/>
        </w:sectPr>
      </w:pPr>
    </w:p>
    <w:p w:rsidR="001245D5" w:rsidRPr="00730A65" w:rsidRDefault="001245D5" w:rsidP="001245D5">
      <w:pPr>
        <w:spacing w:line="48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    </w:t>
      </w:r>
      <w:r w:rsidR="001C2E46">
        <w:rPr>
          <w:rFonts w:cs="Times New Roman"/>
          <w:sz w:val="24"/>
          <w:szCs w:val="24"/>
        </w:rPr>
        <w:t>En la tabla 1</w:t>
      </w:r>
      <w:r w:rsidRPr="00730A65">
        <w:rPr>
          <w:rFonts w:cs="Times New Roman"/>
          <w:sz w:val="24"/>
          <w:szCs w:val="24"/>
        </w:rPr>
        <w:t xml:space="preserve"> se encuentra el criterio </w:t>
      </w:r>
      <w:r w:rsidRPr="00730A65">
        <w:rPr>
          <w:rFonts w:cs="Times New Roman"/>
          <w:i/>
          <w:sz w:val="24"/>
          <w:szCs w:val="24"/>
        </w:rPr>
        <w:t>Apuestas Regionales</w:t>
      </w:r>
      <w:r w:rsidRPr="00730A65">
        <w:rPr>
          <w:rFonts w:cs="Times New Roman"/>
          <w:sz w:val="24"/>
          <w:szCs w:val="24"/>
        </w:rPr>
        <w:t>, en ésta es posible apreciar qu</w:t>
      </w:r>
      <w:r>
        <w:rPr>
          <w:rFonts w:cs="Times New Roman"/>
          <w:sz w:val="24"/>
          <w:szCs w:val="24"/>
        </w:rPr>
        <w:t>e el subsector Confitería obtuvo</w:t>
      </w:r>
      <w:r w:rsidRPr="00730A65">
        <w:rPr>
          <w:rFonts w:cs="Times New Roman"/>
          <w:sz w:val="24"/>
          <w:szCs w:val="24"/>
        </w:rPr>
        <w:t xml:space="preserve"> una calificación del 28% ubicándose cómo el más importante, seguido del subsector de Cárnicos y Molinería con el 21%, el subsector Aceites logra un 18%, Pescado un 8%, Lácteos con</w:t>
      </w:r>
      <w:r>
        <w:rPr>
          <w:rFonts w:cs="Times New Roman"/>
          <w:sz w:val="24"/>
          <w:szCs w:val="24"/>
        </w:rPr>
        <w:t xml:space="preserve"> un 2% y en último lugar apareció</w:t>
      </w:r>
      <w:r w:rsidRPr="00730A65">
        <w:rPr>
          <w:rFonts w:cs="Times New Roman"/>
          <w:sz w:val="24"/>
          <w:szCs w:val="24"/>
        </w:rPr>
        <w:t xml:space="preserve"> Café con 1,2%.</w:t>
      </w:r>
    </w:p>
    <w:p w:rsidR="001245D5" w:rsidRPr="00730A65" w:rsidRDefault="001245D5" w:rsidP="001245D5">
      <w:p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sz w:val="24"/>
          <w:szCs w:val="24"/>
        </w:rPr>
        <w:t xml:space="preserve">Las puntuaciones para completar la matriz de </w:t>
      </w:r>
      <w:r w:rsidRPr="00730A65">
        <w:rPr>
          <w:rFonts w:cs="Times New Roman"/>
          <w:b/>
          <w:sz w:val="24"/>
          <w:szCs w:val="24"/>
        </w:rPr>
        <w:t>Empresas dentro del Subsector</w:t>
      </w:r>
      <w:r w:rsidRPr="00730A6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fueron</w:t>
      </w:r>
      <w:r w:rsidRPr="00730A65">
        <w:rPr>
          <w:rFonts w:cs="Times New Roman"/>
          <w:sz w:val="24"/>
          <w:szCs w:val="24"/>
        </w:rPr>
        <w:t xml:space="preserve"> las observadas a continuación: </w:t>
      </w:r>
    </w:p>
    <w:p w:rsidR="001245D5" w:rsidRPr="00730A6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10 =</w:t>
      </w:r>
      <w:r w:rsidRPr="00730A65">
        <w:rPr>
          <w:rFonts w:cs="Times New Roman"/>
          <w:sz w:val="24"/>
          <w:szCs w:val="24"/>
        </w:rPr>
        <w:t xml:space="preserve"> Mucho más importante/ si oscila entre el [17% al 28,2%]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5 =</w:t>
      </w:r>
      <w:r w:rsidRPr="00730A65">
        <w:rPr>
          <w:rFonts w:cs="Times New Roman"/>
          <w:sz w:val="24"/>
          <w:szCs w:val="24"/>
        </w:rPr>
        <w:t xml:space="preserve"> Más importante/ si oscila entre el [5,7% al 16,9%]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 =</w:t>
      </w:r>
      <w:r w:rsidRPr="00730A65">
        <w:rPr>
          <w:rFonts w:cs="Times New Roman"/>
          <w:sz w:val="24"/>
          <w:szCs w:val="24"/>
        </w:rPr>
        <w:t xml:space="preserve"> Igual/ si oscila entre el [-5,5% al 5,6%]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1/5 =</w:t>
      </w:r>
      <w:r w:rsidRPr="00730A65">
        <w:rPr>
          <w:rFonts w:cs="Times New Roman"/>
          <w:sz w:val="24"/>
          <w:szCs w:val="24"/>
        </w:rPr>
        <w:t xml:space="preserve"> Menos importante/ si oscila entre el [-16,8% al -5,6%]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  <w:sectPr w:rsidR="001245D5" w:rsidRPr="00730A65" w:rsidSect="00A62BFD">
          <w:pgSz w:w="12240" w:h="15840"/>
          <w:pgMar w:top="1701" w:right="2268" w:bottom="1701" w:left="1134" w:header="709" w:footer="709" w:gutter="0"/>
          <w:cols w:space="708"/>
          <w:docGrid w:linePitch="360"/>
        </w:sectPr>
      </w:pPr>
      <w:r w:rsidRPr="00730A65">
        <w:rPr>
          <w:rFonts w:cs="Times New Roman"/>
          <w:b/>
          <w:sz w:val="24"/>
          <w:szCs w:val="24"/>
        </w:rPr>
        <w:t>1/10 =</w:t>
      </w:r>
      <w:r w:rsidRPr="00730A65">
        <w:rPr>
          <w:rFonts w:cs="Times New Roman"/>
          <w:sz w:val="24"/>
          <w:szCs w:val="24"/>
        </w:rPr>
        <w:t xml:space="preserve"> Mucho menos importante/ si oscila entre el [- 28,2% al -16,9%]</w:t>
      </w:r>
    </w:p>
    <w:p w:rsidR="001245D5" w:rsidRPr="00D36332" w:rsidRDefault="001245D5" w:rsidP="001245D5">
      <w:pPr>
        <w:rPr>
          <w:b/>
        </w:rPr>
      </w:pPr>
      <w:bookmarkStart w:id="1" w:name="_Toc466400777"/>
      <w:bookmarkStart w:id="2" w:name="_Toc447880998"/>
      <w:r w:rsidRPr="00D36332">
        <w:rPr>
          <w:b/>
        </w:rPr>
        <w:lastRenderedPageBreak/>
        <w:t xml:space="preserve">Tabla </w:t>
      </w:r>
      <w:r w:rsidRPr="00D36332">
        <w:rPr>
          <w:b/>
        </w:rPr>
        <w:fldChar w:fldCharType="begin"/>
      </w:r>
      <w:r w:rsidRPr="00D36332">
        <w:rPr>
          <w:b/>
        </w:rPr>
        <w:instrText xml:space="preserve"> SEQ Tabla \* ARABIC </w:instrText>
      </w:r>
      <w:r w:rsidRPr="00D36332">
        <w:rPr>
          <w:b/>
        </w:rPr>
        <w:fldChar w:fldCharType="separate"/>
      </w:r>
      <w:r w:rsidR="001C2E46">
        <w:rPr>
          <w:b/>
          <w:noProof/>
        </w:rPr>
        <w:t>2</w:t>
      </w:r>
      <w:r w:rsidRPr="00D36332">
        <w:rPr>
          <w:b/>
        </w:rPr>
        <w:fldChar w:fldCharType="end"/>
      </w:r>
      <w:r w:rsidRPr="00D36332">
        <w:rPr>
          <w:b/>
        </w:rPr>
        <w:t>.</w:t>
      </w:r>
      <w:bookmarkEnd w:id="1"/>
      <w:r w:rsidRPr="00D36332">
        <w:rPr>
          <w:b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543"/>
        <w:tblW w:w="14820" w:type="dxa"/>
        <w:tblLook w:val="04A0" w:firstRow="1" w:lastRow="0" w:firstColumn="1" w:lastColumn="0" w:noHBand="0" w:noVBand="1"/>
      </w:tblPr>
      <w:tblGrid>
        <w:gridCol w:w="2417"/>
        <w:gridCol w:w="1434"/>
        <w:gridCol w:w="1317"/>
        <w:gridCol w:w="1198"/>
        <w:gridCol w:w="1266"/>
        <w:gridCol w:w="1552"/>
        <w:gridCol w:w="878"/>
        <w:gridCol w:w="1603"/>
        <w:gridCol w:w="1334"/>
        <w:gridCol w:w="1821"/>
      </w:tblGrid>
      <w:tr w:rsidR="001245D5" w:rsidRPr="00730A65" w:rsidTr="007D2773">
        <w:trPr>
          <w:trHeight w:val="1456"/>
        </w:trPr>
        <w:tc>
          <w:tcPr>
            <w:tcW w:w="24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Empresas dentro del Subsector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Cárnicos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Aceites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Lácteos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Molinería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Café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Confitería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Calificación del Subsector </w:t>
            </w:r>
          </w:p>
        </w:tc>
      </w:tr>
      <w:tr w:rsidR="001245D5" w:rsidRPr="00730A65" w:rsidTr="007D2773">
        <w:trPr>
          <w:trHeight w:val="60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Cárnicos </w:t>
            </w:r>
          </w:p>
        </w:tc>
        <w:tc>
          <w:tcPr>
            <w:tcW w:w="1434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0,026</w:t>
            </w:r>
          </w:p>
        </w:tc>
      </w:tr>
      <w:tr w:rsidR="001245D5" w:rsidRPr="00730A65" w:rsidTr="007D2773">
        <w:trPr>
          <w:trHeight w:val="67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17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0,35</w:t>
            </w:r>
          </w:p>
        </w:tc>
      </w:tr>
      <w:tr w:rsidR="001245D5" w:rsidRPr="00730A65" w:rsidTr="007D2773">
        <w:trPr>
          <w:trHeight w:val="60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Aceites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0,32</w:t>
            </w:r>
          </w:p>
        </w:tc>
      </w:tr>
      <w:tr w:rsidR="001245D5" w:rsidRPr="00730A65" w:rsidTr="007D2773">
        <w:trPr>
          <w:trHeight w:val="67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Lácteos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66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0,026</w:t>
            </w:r>
          </w:p>
        </w:tc>
      </w:tr>
      <w:tr w:rsidR="001245D5" w:rsidRPr="00730A65" w:rsidTr="007D2773">
        <w:trPr>
          <w:trHeight w:val="67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Molinería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52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31,2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0,23</w:t>
            </w:r>
          </w:p>
        </w:tc>
      </w:tr>
      <w:tr w:rsidR="001245D5" w:rsidRPr="00730A65" w:rsidTr="007D2773">
        <w:trPr>
          <w:trHeight w:val="60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Café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878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3,3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0,025</w:t>
            </w:r>
          </w:p>
        </w:tc>
      </w:tr>
      <w:tr w:rsidR="001245D5" w:rsidRPr="00730A65" w:rsidTr="007D2773">
        <w:trPr>
          <w:trHeight w:val="676"/>
        </w:trPr>
        <w:tc>
          <w:tcPr>
            <w:tcW w:w="2417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Confitería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3,3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0,025</w:t>
            </w:r>
          </w:p>
        </w:tc>
      </w:tr>
      <w:tr w:rsidR="001245D5" w:rsidRPr="00730A65" w:rsidTr="007D2773">
        <w:trPr>
          <w:trHeight w:val="676"/>
        </w:trPr>
        <w:tc>
          <w:tcPr>
            <w:tcW w:w="24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TOTALES </w:t>
            </w:r>
          </w:p>
        </w:tc>
        <w:tc>
          <w:tcPr>
            <w:tcW w:w="14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31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1,6</w:t>
            </w:r>
          </w:p>
        </w:tc>
        <w:tc>
          <w:tcPr>
            <w:tcW w:w="11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2,4</w:t>
            </w:r>
          </w:p>
        </w:tc>
        <w:tc>
          <w:tcPr>
            <w:tcW w:w="126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5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6,6</w:t>
            </w:r>
          </w:p>
        </w:tc>
        <w:tc>
          <w:tcPr>
            <w:tcW w:w="87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60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33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132,6</w:t>
            </w:r>
          </w:p>
        </w:tc>
        <w:tc>
          <w:tcPr>
            <w:tcW w:w="182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1,00</w:t>
            </w:r>
          </w:p>
        </w:tc>
      </w:tr>
    </w:tbl>
    <w:p w:rsidR="001245D5" w:rsidRPr="00730A65" w:rsidRDefault="001245D5" w:rsidP="001245D5">
      <w:r w:rsidRPr="00730A65">
        <w:t>Empresas dentro del Subsector</w:t>
      </w:r>
      <w:bookmarkEnd w:id="2"/>
    </w:p>
    <w:p w:rsidR="001245D5" w:rsidRPr="00730A65" w:rsidRDefault="001245D5" w:rsidP="001245D5">
      <w:r w:rsidRPr="00730A65">
        <w:t xml:space="preserve">Fuente: Elaboración propia </w:t>
      </w:r>
    </w:p>
    <w:p w:rsidR="001245D5" w:rsidRDefault="001245D5" w:rsidP="001245D5">
      <w:pPr>
        <w:jc w:val="both"/>
        <w:rPr>
          <w:rFonts w:cs="Times New Roman"/>
          <w:sz w:val="24"/>
          <w:szCs w:val="24"/>
        </w:rPr>
        <w:sectPr w:rsidR="001245D5" w:rsidSect="001C2E46">
          <w:pgSz w:w="15840" w:h="12240" w:orient="landscape"/>
          <w:pgMar w:top="1276" w:right="1701" w:bottom="1134" w:left="1701" w:header="709" w:footer="709" w:gutter="0"/>
          <w:cols w:space="708"/>
          <w:docGrid w:linePitch="360"/>
        </w:sectPr>
      </w:pPr>
    </w:p>
    <w:p w:rsidR="001245D5" w:rsidRPr="00730A65" w:rsidRDefault="001245D5" w:rsidP="001245D5">
      <w:pPr>
        <w:spacing w:line="48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    </w:t>
      </w:r>
      <w:r w:rsidR="001C2E46">
        <w:rPr>
          <w:rFonts w:cs="Times New Roman"/>
          <w:sz w:val="24"/>
          <w:szCs w:val="24"/>
        </w:rPr>
        <w:t>En la tabla 2</w:t>
      </w:r>
      <w:r w:rsidRPr="00730A65">
        <w:rPr>
          <w:rFonts w:cs="Times New Roman"/>
          <w:sz w:val="24"/>
          <w:szCs w:val="24"/>
        </w:rPr>
        <w:t xml:space="preserve"> se aprecia el criterio </w:t>
      </w:r>
      <w:r w:rsidRPr="00730A65">
        <w:rPr>
          <w:rFonts w:cs="Times New Roman"/>
          <w:i/>
          <w:sz w:val="24"/>
          <w:szCs w:val="24"/>
        </w:rPr>
        <w:t>Empresas dentro del Subsector</w:t>
      </w:r>
      <w:r w:rsidRPr="00730A65">
        <w:rPr>
          <w:rFonts w:cs="Times New Roman"/>
          <w:sz w:val="24"/>
          <w:szCs w:val="24"/>
        </w:rPr>
        <w:t xml:space="preserve"> arrojando como el más importante al subsector Pescados con el 35%, seguido de Aceites con el 32%, la Molinería con el 23%, a continuación, aparecen Cárnicos y Lácteos con 2,6% cada uno y por último Café y Confitería con 2,5% cada uno.</w:t>
      </w:r>
    </w:p>
    <w:p w:rsidR="001245D5" w:rsidRPr="00730A65" w:rsidRDefault="001245D5" w:rsidP="001245D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sz w:val="24"/>
          <w:szCs w:val="24"/>
        </w:rPr>
        <w:t xml:space="preserve">Las puntuaciones para completar la matriz de </w:t>
      </w:r>
      <w:r w:rsidRPr="00730A65">
        <w:rPr>
          <w:rFonts w:cs="Times New Roman"/>
          <w:b/>
          <w:sz w:val="24"/>
          <w:szCs w:val="24"/>
        </w:rPr>
        <w:t>Generación de empleos</w:t>
      </w:r>
      <w:r w:rsidRPr="00730A6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fueron</w:t>
      </w:r>
      <w:r w:rsidRPr="00730A65">
        <w:rPr>
          <w:rFonts w:cs="Times New Roman"/>
          <w:sz w:val="24"/>
          <w:szCs w:val="24"/>
        </w:rPr>
        <w:t xml:space="preserve"> las observadas a continuación: </w:t>
      </w:r>
    </w:p>
    <w:p w:rsidR="001245D5" w:rsidRPr="00730A6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10 =</w:t>
      </w:r>
      <w:r w:rsidRPr="00730A65">
        <w:rPr>
          <w:rFonts w:cs="Times New Roman"/>
          <w:sz w:val="24"/>
          <w:szCs w:val="24"/>
        </w:rPr>
        <w:t xml:space="preserve"> Mucho más importante/ si oscila entre el [19,2% al 31,8%]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5 =</w:t>
      </w:r>
      <w:r w:rsidRPr="00730A65">
        <w:rPr>
          <w:rFonts w:cs="Times New Roman"/>
          <w:sz w:val="24"/>
          <w:szCs w:val="24"/>
        </w:rPr>
        <w:t xml:space="preserve"> Más importante/ si oscila entre el [6,4% al 19,08%]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 =</w:t>
      </w:r>
      <w:r w:rsidRPr="00730A65">
        <w:rPr>
          <w:rFonts w:cs="Times New Roman"/>
          <w:sz w:val="24"/>
          <w:szCs w:val="24"/>
        </w:rPr>
        <w:t xml:space="preserve"> Igual/ si oscila entre el [-6,2% al 6,36%]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1/5 =</w:t>
      </w:r>
      <w:r w:rsidRPr="00730A65">
        <w:rPr>
          <w:rFonts w:cs="Times New Roman"/>
          <w:sz w:val="24"/>
          <w:szCs w:val="24"/>
        </w:rPr>
        <w:t xml:space="preserve"> Menos importante/ si oscila entre el [-19% al -6,36%]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  <w:sectPr w:rsidR="001245D5" w:rsidRPr="00730A65" w:rsidSect="00A62BFD">
          <w:pgSz w:w="12240" w:h="15840"/>
          <w:pgMar w:top="1701" w:right="2268" w:bottom="1701" w:left="1134" w:header="709" w:footer="709" w:gutter="0"/>
          <w:cols w:space="708"/>
          <w:docGrid w:linePitch="360"/>
        </w:sectPr>
      </w:pPr>
      <w:r w:rsidRPr="00730A65">
        <w:rPr>
          <w:rFonts w:cs="Times New Roman"/>
          <w:b/>
          <w:sz w:val="24"/>
          <w:szCs w:val="24"/>
        </w:rPr>
        <w:t>1/10 =</w:t>
      </w:r>
      <w:r w:rsidRPr="00730A65">
        <w:rPr>
          <w:rFonts w:cs="Times New Roman"/>
          <w:sz w:val="24"/>
          <w:szCs w:val="24"/>
        </w:rPr>
        <w:t xml:space="preserve"> Mucho menos importante/ si oscila entre el [-31,8% al -19,08%]</w:t>
      </w:r>
    </w:p>
    <w:p w:rsidR="001245D5" w:rsidRPr="00D36332" w:rsidRDefault="001245D5" w:rsidP="001245D5">
      <w:pPr>
        <w:rPr>
          <w:b/>
        </w:rPr>
      </w:pPr>
      <w:bookmarkStart w:id="3" w:name="_Toc466400778"/>
      <w:bookmarkStart w:id="4" w:name="_Toc447880999"/>
      <w:r w:rsidRPr="00D36332">
        <w:rPr>
          <w:b/>
        </w:rPr>
        <w:lastRenderedPageBreak/>
        <w:t xml:space="preserve">Tabla </w:t>
      </w:r>
      <w:r w:rsidRPr="00D36332">
        <w:rPr>
          <w:b/>
        </w:rPr>
        <w:fldChar w:fldCharType="begin"/>
      </w:r>
      <w:r w:rsidRPr="00D36332">
        <w:rPr>
          <w:b/>
        </w:rPr>
        <w:instrText xml:space="preserve"> SEQ Tabla \* ARABIC </w:instrText>
      </w:r>
      <w:r w:rsidRPr="00D36332">
        <w:rPr>
          <w:b/>
        </w:rPr>
        <w:fldChar w:fldCharType="separate"/>
      </w:r>
      <w:r w:rsidR="001C2E46">
        <w:rPr>
          <w:b/>
          <w:noProof/>
        </w:rPr>
        <w:t>3</w:t>
      </w:r>
      <w:r w:rsidRPr="00D36332">
        <w:rPr>
          <w:b/>
        </w:rPr>
        <w:fldChar w:fldCharType="end"/>
      </w:r>
      <w:r w:rsidRPr="00D36332">
        <w:rPr>
          <w:b/>
        </w:rPr>
        <w:t>.</w:t>
      </w:r>
      <w:bookmarkEnd w:id="3"/>
      <w:r w:rsidRPr="00D36332">
        <w:rPr>
          <w:b/>
        </w:rPr>
        <w:t xml:space="preserve"> </w:t>
      </w:r>
    </w:p>
    <w:tbl>
      <w:tblPr>
        <w:tblStyle w:val="Tablaconcuadrcula"/>
        <w:tblpPr w:leftFromText="141" w:rightFromText="141" w:vertAnchor="text" w:horzAnchor="margin" w:tblpY="525"/>
        <w:tblW w:w="13167" w:type="dxa"/>
        <w:tblLook w:val="04A0" w:firstRow="1" w:lastRow="0" w:firstColumn="1" w:lastColumn="0" w:noHBand="0" w:noVBand="1"/>
      </w:tblPr>
      <w:tblGrid>
        <w:gridCol w:w="1844"/>
        <w:gridCol w:w="1332"/>
        <w:gridCol w:w="1290"/>
        <w:gridCol w:w="1149"/>
        <w:gridCol w:w="1205"/>
        <w:gridCol w:w="1360"/>
        <w:gridCol w:w="797"/>
        <w:gridCol w:w="1429"/>
        <w:gridCol w:w="1093"/>
        <w:gridCol w:w="1668"/>
      </w:tblGrid>
      <w:tr w:rsidR="001245D5" w:rsidRPr="00730A65" w:rsidTr="007D2773">
        <w:trPr>
          <w:trHeight w:val="1576"/>
        </w:trPr>
        <w:tc>
          <w:tcPr>
            <w:tcW w:w="184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Generación de empleos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Cárnicos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Aceites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Lácteos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Molinería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Café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Confitería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Calificación del Subsector </w:t>
            </w:r>
          </w:p>
        </w:tc>
      </w:tr>
      <w:tr w:rsidR="001245D5" w:rsidRPr="00730A65" w:rsidTr="007D2773">
        <w:trPr>
          <w:trHeight w:val="657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Cárnicos </w:t>
            </w:r>
          </w:p>
        </w:tc>
        <w:tc>
          <w:tcPr>
            <w:tcW w:w="1332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16,4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0,14</w:t>
            </w:r>
          </w:p>
        </w:tc>
      </w:tr>
      <w:tr w:rsidR="001245D5" w:rsidRPr="00730A65" w:rsidTr="007D2773">
        <w:trPr>
          <w:trHeight w:val="731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290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1,8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0,015</w:t>
            </w:r>
          </w:p>
        </w:tc>
      </w:tr>
      <w:tr w:rsidR="001245D5" w:rsidRPr="00730A65" w:rsidTr="007D2773">
        <w:trPr>
          <w:trHeight w:val="657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Aceites 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49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6,7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731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Lácteos 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16,4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0,14</w:t>
            </w:r>
          </w:p>
        </w:tc>
      </w:tr>
      <w:tr w:rsidR="001245D5" w:rsidRPr="00730A65" w:rsidTr="007D2773">
        <w:trPr>
          <w:trHeight w:val="731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Molinería 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0,38</w:t>
            </w:r>
          </w:p>
        </w:tc>
      </w:tr>
      <w:tr w:rsidR="001245D5" w:rsidRPr="00730A65" w:rsidTr="007D2773">
        <w:trPr>
          <w:trHeight w:val="657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Café 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797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2,7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0,023</w:t>
            </w:r>
          </w:p>
        </w:tc>
      </w:tr>
      <w:tr w:rsidR="001245D5" w:rsidRPr="00730A65" w:rsidTr="007D2773">
        <w:trPr>
          <w:trHeight w:val="731"/>
        </w:trPr>
        <w:tc>
          <w:tcPr>
            <w:tcW w:w="1844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Confitería 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29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30,2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  <w:tr w:rsidR="001245D5" w:rsidRPr="00730A65" w:rsidTr="007D2773">
        <w:trPr>
          <w:trHeight w:val="731"/>
        </w:trPr>
        <w:tc>
          <w:tcPr>
            <w:tcW w:w="1844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TOTALES </w:t>
            </w:r>
          </w:p>
        </w:tc>
        <w:tc>
          <w:tcPr>
            <w:tcW w:w="13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11,6</w:t>
            </w:r>
          </w:p>
        </w:tc>
        <w:tc>
          <w:tcPr>
            <w:tcW w:w="129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4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26,2</w:t>
            </w:r>
          </w:p>
        </w:tc>
        <w:tc>
          <w:tcPr>
            <w:tcW w:w="120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11,6</w:t>
            </w:r>
          </w:p>
        </w:tc>
        <w:tc>
          <w:tcPr>
            <w:tcW w:w="136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0,9</w:t>
            </w:r>
          </w:p>
        </w:tc>
        <w:tc>
          <w:tcPr>
            <w:tcW w:w="797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42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5,9</w:t>
            </w:r>
          </w:p>
        </w:tc>
        <w:tc>
          <w:tcPr>
            <w:tcW w:w="10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119,2</w:t>
            </w:r>
          </w:p>
        </w:tc>
        <w:tc>
          <w:tcPr>
            <w:tcW w:w="166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1,00</w:t>
            </w:r>
          </w:p>
        </w:tc>
      </w:tr>
    </w:tbl>
    <w:p w:rsidR="001245D5" w:rsidRDefault="001245D5" w:rsidP="001245D5">
      <w:r w:rsidRPr="00730A65">
        <w:t>Generación de empleos</w:t>
      </w:r>
      <w:bookmarkEnd w:id="4"/>
    </w:p>
    <w:p w:rsidR="001245D5" w:rsidRDefault="001245D5" w:rsidP="001245D5">
      <w:r w:rsidRPr="00730A65">
        <w:t>Fuente: Elaboración propia.</w:t>
      </w:r>
    </w:p>
    <w:p w:rsidR="001245D5" w:rsidRDefault="001245D5" w:rsidP="001245D5">
      <w:pPr>
        <w:sectPr w:rsidR="001245D5" w:rsidSect="001C2E46">
          <w:pgSz w:w="15840" w:h="12240" w:orient="landscape"/>
          <w:pgMar w:top="851" w:right="1701" w:bottom="1134" w:left="1701" w:header="709" w:footer="709" w:gutter="0"/>
          <w:cols w:space="708"/>
          <w:docGrid w:linePitch="360"/>
        </w:sectPr>
      </w:pPr>
    </w:p>
    <w:p w:rsidR="001245D5" w:rsidRPr="00730A65" w:rsidRDefault="001245D5" w:rsidP="001245D5"/>
    <w:p w:rsidR="001245D5" w:rsidRPr="00730A65" w:rsidRDefault="001245D5" w:rsidP="001245D5">
      <w:pPr>
        <w:spacing w:line="48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</w:t>
      </w:r>
      <w:r w:rsidR="001C2E46">
        <w:rPr>
          <w:rFonts w:cs="Times New Roman"/>
          <w:sz w:val="24"/>
          <w:szCs w:val="24"/>
        </w:rPr>
        <w:t>En la tabla 3</w:t>
      </w:r>
      <w:r w:rsidRPr="00730A65">
        <w:rPr>
          <w:rFonts w:cs="Times New Roman"/>
          <w:sz w:val="24"/>
          <w:szCs w:val="24"/>
        </w:rPr>
        <w:t xml:space="preserve"> se tomó en consideración el criterio </w:t>
      </w:r>
      <w:r w:rsidRPr="00730A65">
        <w:rPr>
          <w:rFonts w:cs="Times New Roman"/>
          <w:i/>
          <w:sz w:val="24"/>
          <w:szCs w:val="24"/>
        </w:rPr>
        <w:t xml:space="preserve">Generación de Empleos, </w:t>
      </w:r>
      <w:r w:rsidRPr="00730A65">
        <w:rPr>
          <w:rFonts w:cs="Times New Roman"/>
          <w:sz w:val="24"/>
          <w:szCs w:val="24"/>
        </w:rPr>
        <w:t xml:space="preserve">en el cual el más importante </w:t>
      </w:r>
      <w:r>
        <w:rPr>
          <w:rFonts w:cs="Times New Roman"/>
          <w:sz w:val="24"/>
          <w:szCs w:val="24"/>
        </w:rPr>
        <w:t>fue</w:t>
      </w:r>
      <w:r w:rsidRPr="00730A65">
        <w:rPr>
          <w:rFonts w:cs="Times New Roman"/>
          <w:sz w:val="24"/>
          <w:szCs w:val="24"/>
        </w:rPr>
        <w:t xml:space="preserve"> el subsector Molinería con el 38%, seguido de Confitería con el 25% y aparecen Lácteos con el 14%, Café con el 2,3%, Aceites con el 6% y finalmente Pescados con el 1,5%</w:t>
      </w:r>
    </w:p>
    <w:p w:rsidR="001245D5" w:rsidRPr="00730A65" w:rsidRDefault="001245D5" w:rsidP="001245D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sz w:val="24"/>
          <w:szCs w:val="24"/>
        </w:rPr>
        <w:t xml:space="preserve">Los puntajes para completar la matriz de </w:t>
      </w:r>
      <w:r w:rsidRPr="00730A65">
        <w:rPr>
          <w:rFonts w:cs="Times New Roman"/>
          <w:b/>
          <w:sz w:val="24"/>
          <w:szCs w:val="24"/>
        </w:rPr>
        <w:t>Nivel de exportaciones</w:t>
      </w:r>
      <w:r w:rsidRPr="00730A6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fueron</w:t>
      </w:r>
      <w:r w:rsidRPr="00730A65">
        <w:rPr>
          <w:rFonts w:cs="Times New Roman"/>
          <w:sz w:val="24"/>
          <w:szCs w:val="24"/>
        </w:rPr>
        <w:t xml:space="preserve"> los observados a continuación: </w:t>
      </w:r>
    </w:p>
    <w:p w:rsidR="001245D5" w:rsidRPr="00730A6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10 =</w:t>
      </w:r>
      <w:r w:rsidRPr="00730A65">
        <w:rPr>
          <w:rFonts w:cs="Times New Roman"/>
          <w:sz w:val="24"/>
          <w:szCs w:val="24"/>
        </w:rPr>
        <w:t xml:space="preserve"> Mucho más importante/ si oscila entre el [35,7% al 59,4%]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5 =</w:t>
      </w:r>
      <w:r w:rsidRPr="00730A65">
        <w:rPr>
          <w:rFonts w:cs="Times New Roman"/>
          <w:sz w:val="24"/>
          <w:szCs w:val="24"/>
        </w:rPr>
        <w:t xml:space="preserve"> Más importante/ si oscila entre el [11,9% al 35,64%]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 =</w:t>
      </w:r>
      <w:r w:rsidRPr="00730A65">
        <w:rPr>
          <w:rFonts w:cs="Times New Roman"/>
          <w:sz w:val="24"/>
          <w:szCs w:val="24"/>
        </w:rPr>
        <w:t xml:space="preserve"> Igual/ si oscila entre el [11,7% al 11,88 %]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1/5 =</w:t>
      </w:r>
      <w:r w:rsidRPr="00730A65">
        <w:rPr>
          <w:rFonts w:cs="Times New Roman"/>
          <w:sz w:val="24"/>
          <w:szCs w:val="24"/>
        </w:rPr>
        <w:t xml:space="preserve"> Menos importante/ si oscila entre el [-35,5% al-11,88%]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  <w:sectPr w:rsidR="001245D5" w:rsidRPr="00730A65" w:rsidSect="00D36332">
          <w:pgSz w:w="12240" w:h="15840"/>
          <w:pgMar w:top="1701" w:right="1134" w:bottom="1701" w:left="2268" w:header="709" w:footer="709" w:gutter="0"/>
          <w:cols w:space="708"/>
          <w:docGrid w:linePitch="360"/>
        </w:sectPr>
      </w:pPr>
      <w:r w:rsidRPr="00730A65">
        <w:rPr>
          <w:rFonts w:cs="Times New Roman"/>
          <w:b/>
          <w:sz w:val="24"/>
          <w:szCs w:val="24"/>
        </w:rPr>
        <w:t>1/10 =</w:t>
      </w:r>
      <w:r w:rsidRPr="00730A65">
        <w:rPr>
          <w:rFonts w:cs="Times New Roman"/>
          <w:sz w:val="24"/>
          <w:szCs w:val="24"/>
        </w:rPr>
        <w:t xml:space="preserve"> Mucho menos importante/ si oscila entre el [-59,4% al -35,64%]</w:t>
      </w:r>
    </w:p>
    <w:p w:rsidR="001245D5" w:rsidRPr="00D36332" w:rsidRDefault="001245D5" w:rsidP="001245D5">
      <w:pPr>
        <w:rPr>
          <w:b/>
        </w:rPr>
      </w:pPr>
      <w:bookmarkStart w:id="5" w:name="_Toc466400779"/>
      <w:bookmarkStart w:id="6" w:name="_Toc447881000"/>
      <w:r w:rsidRPr="00D36332">
        <w:rPr>
          <w:b/>
        </w:rPr>
        <w:lastRenderedPageBreak/>
        <w:t xml:space="preserve">Tabla </w:t>
      </w:r>
      <w:r w:rsidRPr="00D36332">
        <w:rPr>
          <w:b/>
        </w:rPr>
        <w:fldChar w:fldCharType="begin"/>
      </w:r>
      <w:r w:rsidRPr="00D36332">
        <w:rPr>
          <w:b/>
        </w:rPr>
        <w:instrText xml:space="preserve"> SEQ Tabla \* ARABIC </w:instrText>
      </w:r>
      <w:r w:rsidRPr="00D36332">
        <w:rPr>
          <w:b/>
        </w:rPr>
        <w:fldChar w:fldCharType="separate"/>
      </w:r>
      <w:r w:rsidR="001C2E46">
        <w:rPr>
          <w:b/>
          <w:noProof/>
        </w:rPr>
        <w:t>4</w:t>
      </w:r>
      <w:r w:rsidRPr="00D36332">
        <w:rPr>
          <w:b/>
        </w:rPr>
        <w:fldChar w:fldCharType="end"/>
      </w:r>
      <w:r w:rsidRPr="00D36332">
        <w:rPr>
          <w:b/>
        </w:rPr>
        <w:t>.</w:t>
      </w:r>
      <w:bookmarkEnd w:id="5"/>
      <w:r w:rsidRPr="00D36332">
        <w:rPr>
          <w:b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556"/>
        <w:tblW w:w="13536" w:type="dxa"/>
        <w:tblLook w:val="04A0" w:firstRow="1" w:lastRow="0" w:firstColumn="1" w:lastColumn="0" w:noHBand="0" w:noVBand="1"/>
      </w:tblPr>
      <w:tblGrid>
        <w:gridCol w:w="1896"/>
        <w:gridCol w:w="1369"/>
        <w:gridCol w:w="1326"/>
        <w:gridCol w:w="1182"/>
        <w:gridCol w:w="1238"/>
        <w:gridCol w:w="1398"/>
        <w:gridCol w:w="819"/>
        <w:gridCol w:w="1469"/>
        <w:gridCol w:w="1123"/>
        <w:gridCol w:w="1716"/>
      </w:tblGrid>
      <w:tr w:rsidR="001245D5" w:rsidRPr="00730A65" w:rsidTr="007D2773">
        <w:trPr>
          <w:trHeight w:val="1533"/>
        </w:trPr>
        <w:tc>
          <w:tcPr>
            <w:tcW w:w="189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Nivel de exportaciones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Cárnicos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Aceites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Lácteos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Molinería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Café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Confitería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Calificación del Subsector </w:t>
            </w:r>
          </w:p>
        </w:tc>
      </w:tr>
      <w:tr w:rsidR="001245D5" w:rsidRPr="00730A65" w:rsidTr="007D2773">
        <w:trPr>
          <w:trHeight w:val="640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Cárnicos </w:t>
            </w:r>
          </w:p>
        </w:tc>
        <w:tc>
          <w:tcPr>
            <w:tcW w:w="1369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0,037</w:t>
            </w:r>
          </w:p>
        </w:tc>
      </w:tr>
      <w:tr w:rsidR="001245D5" w:rsidRPr="00730A65" w:rsidTr="007D2773">
        <w:trPr>
          <w:trHeight w:val="712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0,037</w:t>
            </w:r>
          </w:p>
        </w:tc>
      </w:tr>
      <w:tr w:rsidR="001245D5" w:rsidRPr="00730A65" w:rsidTr="007D2773">
        <w:trPr>
          <w:trHeight w:val="640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Aceites 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0,037</w:t>
            </w:r>
          </w:p>
        </w:tc>
      </w:tr>
      <w:tr w:rsidR="001245D5" w:rsidRPr="00730A65" w:rsidTr="007D2773">
        <w:trPr>
          <w:trHeight w:val="712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Lácteos 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0,037</w:t>
            </w:r>
          </w:p>
        </w:tc>
      </w:tr>
      <w:tr w:rsidR="001245D5" w:rsidRPr="00730A65" w:rsidTr="007D2773">
        <w:trPr>
          <w:trHeight w:val="712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Molinería 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0,037</w:t>
            </w:r>
          </w:p>
        </w:tc>
      </w:tr>
      <w:tr w:rsidR="001245D5" w:rsidRPr="00730A65" w:rsidTr="007D2773">
        <w:trPr>
          <w:trHeight w:val="640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Café 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0,51</w:t>
            </w:r>
          </w:p>
        </w:tc>
      </w:tr>
      <w:tr w:rsidR="001245D5" w:rsidRPr="00730A65" w:rsidTr="007D2773">
        <w:trPr>
          <w:trHeight w:val="712"/>
        </w:trPr>
        <w:tc>
          <w:tcPr>
            <w:tcW w:w="1896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Confitería 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0,30</w:t>
            </w:r>
          </w:p>
        </w:tc>
      </w:tr>
      <w:tr w:rsidR="001245D5" w:rsidRPr="00730A65" w:rsidTr="007D2773">
        <w:trPr>
          <w:trHeight w:val="712"/>
        </w:trPr>
        <w:tc>
          <w:tcPr>
            <w:tcW w:w="189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TOTALES </w:t>
            </w:r>
          </w:p>
        </w:tc>
        <w:tc>
          <w:tcPr>
            <w:tcW w:w="13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2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8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3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98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1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146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116,5</w:t>
            </w:r>
          </w:p>
        </w:tc>
        <w:tc>
          <w:tcPr>
            <w:tcW w:w="1716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1,00</w:t>
            </w:r>
          </w:p>
        </w:tc>
      </w:tr>
    </w:tbl>
    <w:p w:rsidR="001245D5" w:rsidRPr="00730A65" w:rsidRDefault="001245D5" w:rsidP="001245D5">
      <w:r w:rsidRPr="00730A65">
        <w:t>Nivel de Exportaciones</w:t>
      </w:r>
      <w:bookmarkEnd w:id="6"/>
    </w:p>
    <w:p w:rsidR="001245D5" w:rsidRDefault="001C2E46" w:rsidP="001245D5">
      <w:pPr>
        <w:sectPr w:rsidR="001245D5" w:rsidSect="001C2E46">
          <w:pgSz w:w="15840" w:h="12240" w:orient="landscape"/>
          <w:pgMar w:top="709" w:right="1701" w:bottom="1134" w:left="1701" w:header="709" w:footer="709" w:gutter="0"/>
          <w:cols w:space="708"/>
          <w:docGrid w:linePitch="360"/>
        </w:sectPr>
      </w:pPr>
      <w:r>
        <w:t>Fuente: Elaboración propia</w:t>
      </w:r>
    </w:p>
    <w:p w:rsidR="001245D5" w:rsidRDefault="001245D5" w:rsidP="001245D5"/>
    <w:p w:rsidR="001245D5" w:rsidRPr="00730A65" w:rsidRDefault="001245D5" w:rsidP="001245D5">
      <w:pPr>
        <w:spacing w:line="48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En la tabla</w:t>
      </w:r>
      <w:r w:rsidR="001C2E46">
        <w:rPr>
          <w:rFonts w:cs="Times New Roman"/>
          <w:sz w:val="24"/>
          <w:szCs w:val="24"/>
        </w:rPr>
        <w:t xml:space="preserve"> 4</w:t>
      </w:r>
      <w:r w:rsidRPr="00730A65">
        <w:rPr>
          <w:rFonts w:cs="Times New Roman"/>
          <w:sz w:val="24"/>
          <w:szCs w:val="24"/>
        </w:rPr>
        <w:t xml:space="preserve"> se encuentra el criterio </w:t>
      </w:r>
      <w:r w:rsidRPr="00730A65">
        <w:rPr>
          <w:rFonts w:cs="Times New Roman"/>
          <w:i/>
          <w:sz w:val="24"/>
          <w:szCs w:val="24"/>
        </w:rPr>
        <w:t>Nivel de Exportaciones</w:t>
      </w:r>
      <w:r w:rsidRPr="00730A65">
        <w:rPr>
          <w:rFonts w:cs="Times New Roman"/>
          <w:sz w:val="24"/>
          <w:szCs w:val="24"/>
        </w:rPr>
        <w:t xml:space="preserve">, en este el más importante </w:t>
      </w:r>
      <w:r>
        <w:rPr>
          <w:rFonts w:cs="Times New Roman"/>
          <w:sz w:val="24"/>
          <w:szCs w:val="24"/>
        </w:rPr>
        <w:t>fue</w:t>
      </w:r>
      <w:r w:rsidRPr="00730A65">
        <w:rPr>
          <w:rFonts w:cs="Times New Roman"/>
          <w:sz w:val="24"/>
          <w:szCs w:val="24"/>
        </w:rPr>
        <w:t xml:space="preserve"> el subsector Café con el 51%, seguido de Confi</w:t>
      </w:r>
      <w:r>
        <w:rPr>
          <w:rFonts w:cs="Times New Roman"/>
          <w:sz w:val="24"/>
          <w:szCs w:val="24"/>
        </w:rPr>
        <w:t>tería con el 30% y luego apareciero</w:t>
      </w:r>
      <w:r w:rsidRPr="00730A65">
        <w:rPr>
          <w:rFonts w:cs="Times New Roman"/>
          <w:sz w:val="24"/>
          <w:szCs w:val="24"/>
        </w:rPr>
        <w:t>n Aceites, Cárnicos, Lácteos, Molinería y Pescados cada uno con el 3,7%.</w:t>
      </w:r>
    </w:p>
    <w:p w:rsidR="001245D5" w:rsidRPr="00730A65" w:rsidRDefault="001245D5" w:rsidP="001245D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sz w:val="24"/>
          <w:szCs w:val="24"/>
        </w:rPr>
        <w:t xml:space="preserve">Los puntajes para completar la matriz de </w:t>
      </w:r>
      <w:r w:rsidRPr="00730A65">
        <w:rPr>
          <w:rFonts w:cs="Times New Roman"/>
          <w:b/>
          <w:sz w:val="24"/>
          <w:szCs w:val="24"/>
        </w:rPr>
        <w:t>Nivel de ingresos</w:t>
      </w:r>
      <w:r w:rsidRPr="00730A6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fueron</w:t>
      </w:r>
      <w:r w:rsidRPr="00730A65">
        <w:rPr>
          <w:rFonts w:cs="Times New Roman"/>
          <w:sz w:val="24"/>
          <w:szCs w:val="24"/>
        </w:rPr>
        <w:t xml:space="preserve"> los observados a continuación: </w:t>
      </w:r>
    </w:p>
    <w:p w:rsidR="001245D5" w:rsidRPr="00730A65" w:rsidRDefault="001245D5" w:rsidP="001245D5">
      <w:pPr>
        <w:pStyle w:val="Prrafodelista"/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10 =</w:t>
      </w:r>
      <w:r w:rsidRPr="00730A65">
        <w:rPr>
          <w:rFonts w:cs="Times New Roman"/>
          <w:sz w:val="24"/>
          <w:szCs w:val="24"/>
        </w:rPr>
        <w:t xml:space="preserve"> Mucho más importante/ si oscila entre el [48,8% al 81,3%]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5 =</w:t>
      </w:r>
      <w:r w:rsidRPr="00730A65">
        <w:rPr>
          <w:rFonts w:cs="Times New Roman"/>
          <w:sz w:val="24"/>
          <w:szCs w:val="24"/>
        </w:rPr>
        <w:t xml:space="preserve"> Más importante/ si oscila entre el [16,3% al 48,78%]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 =</w:t>
      </w:r>
      <w:r w:rsidRPr="00730A65">
        <w:rPr>
          <w:rFonts w:cs="Times New Roman"/>
          <w:sz w:val="24"/>
          <w:szCs w:val="24"/>
        </w:rPr>
        <w:t xml:space="preserve"> Igual/ si oscila entre el [-16,1% al 16,26%]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</w:pPr>
      <w:r w:rsidRPr="00730A65">
        <w:rPr>
          <w:rFonts w:cs="Times New Roman"/>
          <w:b/>
          <w:sz w:val="24"/>
          <w:szCs w:val="24"/>
        </w:rPr>
        <w:t>1/5 =</w:t>
      </w:r>
      <w:r w:rsidRPr="00730A65">
        <w:rPr>
          <w:rFonts w:cs="Times New Roman"/>
          <w:sz w:val="24"/>
          <w:szCs w:val="24"/>
        </w:rPr>
        <w:t xml:space="preserve"> Menos importante/ si oscila entre el [-48,6% al -16,26%]</w:t>
      </w:r>
    </w:p>
    <w:p w:rsidR="001245D5" w:rsidRPr="00730A65" w:rsidRDefault="001245D5" w:rsidP="001245D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cs="Times New Roman"/>
          <w:sz w:val="24"/>
          <w:szCs w:val="24"/>
        </w:rPr>
        <w:sectPr w:rsidR="001245D5" w:rsidRPr="00730A65" w:rsidSect="00D36332">
          <w:pgSz w:w="12240" w:h="15840"/>
          <w:pgMar w:top="1701" w:right="1134" w:bottom="1701" w:left="2268" w:header="709" w:footer="709" w:gutter="0"/>
          <w:cols w:space="708"/>
          <w:docGrid w:linePitch="360"/>
        </w:sectPr>
      </w:pPr>
      <w:r w:rsidRPr="00730A65">
        <w:rPr>
          <w:rFonts w:cs="Times New Roman"/>
          <w:b/>
          <w:sz w:val="24"/>
          <w:szCs w:val="24"/>
        </w:rPr>
        <w:t>1/10 =</w:t>
      </w:r>
      <w:r w:rsidRPr="00730A65">
        <w:rPr>
          <w:rFonts w:cs="Times New Roman"/>
          <w:sz w:val="24"/>
          <w:szCs w:val="24"/>
        </w:rPr>
        <w:t xml:space="preserve"> Mucho menos importante/ si oscila entre el [-81,3% al -48,78%]</w:t>
      </w:r>
    </w:p>
    <w:p w:rsidR="001245D5" w:rsidRPr="00D36332" w:rsidRDefault="001245D5" w:rsidP="001245D5">
      <w:pPr>
        <w:rPr>
          <w:b/>
        </w:rPr>
      </w:pPr>
      <w:bookmarkStart w:id="7" w:name="_Toc466400780"/>
      <w:bookmarkStart w:id="8" w:name="_Toc447881001"/>
      <w:r w:rsidRPr="00D36332">
        <w:rPr>
          <w:b/>
        </w:rPr>
        <w:lastRenderedPageBreak/>
        <w:t xml:space="preserve">Tabla </w:t>
      </w:r>
      <w:r w:rsidRPr="00D36332">
        <w:rPr>
          <w:b/>
        </w:rPr>
        <w:fldChar w:fldCharType="begin"/>
      </w:r>
      <w:r w:rsidRPr="00D36332">
        <w:rPr>
          <w:b/>
        </w:rPr>
        <w:instrText xml:space="preserve"> SEQ Tabla \* ARABIC </w:instrText>
      </w:r>
      <w:r w:rsidRPr="00D36332">
        <w:rPr>
          <w:b/>
        </w:rPr>
        <w:fldChar w:fldCharType="separate"/>
      </w:r>
      <w:r w:rsidR="001C2E46">
        <w:rPr>
          <w:b/>
          <w:noProof/>
        </w:rPr>
        <w:t>5</w:t>
      </w:r>
      <w:r w:rsidRPr="00D36332">
        <w:rPr>
          <w:b/>
        </w:rPr>
        <w:fldChar w:fldCharType="end"/>
      </w:r>
      <w:r w:rsidRPr="00D36332">
        <w:rPr>
          <w:b/>
        </w:rPr>
        <w:t>.</w:t>
      </w:r>
      <w:bookmarkEnd w:id="7"/>
      <w:r w:rsidRPr="00D36332">
        <w:rPr>
          <w:b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545"/>
        <w:tblW w:w="14130" w:type="dxa"/>
        <w:tblLook w:val="04A0" w:firstRow="1" w:lastRow="0" w:firstColumn="1" w:lastColumn="0" w:noHBand="0" w:noVBand="1"/>
      </w:tblPr>
      <w:tblGrid>
        <w:gridCol w:w="1980"/>
        <w:gridCol w:w="1430"/>
        <w:gridCol w:w="1385"/>
        <w:gridCol w:w="1233"/>
        <w:gridCol w:w="1293"/>
        <w:gridCol w:w="1459"/>
        <w:gridCol w:w="855"/>
        <w:gridCol w:w="1532"/>
        <w:gridCol w:w="1172"/>
        <w:gridCol w:w="1791"/>
      </w:tblGrid>
      <w:tr w:rsidR="001245D5" w:rsidRPr="00730A65" w:rsidTr="007D2773">
        <w:trPr>
          <w:trHeight w:val="1057"/>
        </w:trPr>
        <w:tc>
          <w:tcPr>
            <w:tcW w:w="198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Nivel de ingresos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Cárnicos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Aceites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Lácteos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Molinería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Café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Confitería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Calificación del Subsector </w:t>
            </w:r>
          </w:p>
        </w:tc>
      </w:tr>
      <w:tr w:rsidR="001245D5" w:rsidRPr="00730A65" w:rsidTr="007D2773">
        <w:trPr>
          <w:trHeight w:val="553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Cárnicos </w:t>
            </w:r>
          </w:p>
        </w:tc>
        <w:tc>
          <w:tcPr>
            <w:tcW w:w="1430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615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Pescado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553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Aceites 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0,66</w:t>
            </w:r>
          </w:p>
        </w:tc>
      </w:tr>
      <w:tr w:rsidR="001245D5" w:rsidRPr="00730A65" w:rsidTr="007D2773">
        <w:trPr>
          <w:trHeight w:val="615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Lácteos 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93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615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Molinería 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553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Café 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615"/>
        </w:trPr>
        <w:tc>
          <w:tcPr>
            <w:tcW w:w="1980" w:type="dxa"/>
            <w:vAlign w:val="center"/>
          </w:tcPr>
          <w:p w:rsidR="001245D5" w:rsidRPr="00730A65" w:rsidRDefault="001245D5" w:rsidP="001245D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Confitería 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1/10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30A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shd w:val="clear" w:color="auto" w:fill="0070C0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0,06</w:t>
            </w:r>
          </w:p>
        </w:tc>
      </w:tr>
      <w:tr w:rsidR="001245D5" w:rsidRPr="00730A65" w:rsidTr="007D2773">
        <w:trPr>
          <w:trHeight w:val="562"/>
        </w:trPr>
        <w:tc>
          <w:tcPr>
            <w:tcW w:w="198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 xml:space="preserve">TOTALES </w:t>
            </w:r>
          </w:p>
        </w:tc>
        <w:tc>
          <w:tcPr>
            <w:tcW w:w="1430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3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0,6</w:t>
            </w:r>
          </w:p>
        </w:tc>
        <w:tc>
          <w:tcPr>
            <w:tcW w:w="1293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59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5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3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72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90,6</w:t>
            </w:r>
          </w:p>
        </w:tc>
        <w:tc>
          <w:tcPr>
            <w:tcW w:w="1791" w:type="dxa"/>
            <w:vAlign w:val="center"/>
          </w:tcPr>
          <w:p w:rsidR="001245D5" w:rsidRPr="00730A65" w:rsidRDefault="001245D5" w:rsidP="007D2773">
            <w:pPr>
              <w:pStyle w:val="Prrafodelist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0A65">
              <w:rPr>
                <w:rFonts w:cs="Times New Roman"/>
                <w:b/>
                <w:sz w:val="24"/>
                <w:szCs w:val="24"/>
              </w:rPr>
              <w:t>1,00</w:t>
            </w:r>
          </w:p>
        </w:tc>
      </w:tr>
    </w:tbl>
    <w:p w:rsidR="001245D5" w:rsidRDefault="001245D5" w:rsidP="001245D5">
      <w:r w:rsidRPr="00730A65">
        <w:t>Nivel de Ingresos</w:t>
      </w:r>
      <w:bookmarkEnd w:id="8"/>
    </w:p>
    <w:p w:rsidR="001245D5" w:rsidRPr="00730A65" w:rsidRDefault="001245D5" w:rsidP="001245D5">
      <w:r w:rsidRPr="00730A65">
        <w:t>Fuente: Elaboración propia</w:t>
      </w:r>
    </w:p>
    <w:p w:rsidR="001245D5" w:rsidRPr="00730A65" w:rsidRDefault="001245D5" w:rsidP="001245D5">
      <w:pPr>
        <w:jc w:val="both"/>
        <w:rPr>
          <w:rFonts w:cs="Times New Roman"/>
          <w:sz w:val="24"/>
          <w:szCs w:val="24"/>
        </w:rPr>
        <w:sectPr w:rsidR="001245D5" w:rsidRPr="00730A65" w:rsidSect="00365CCC">
          <w:pgSz w:w="15840" w:h="12240" w:orient="landscape"/>
          <w:pgMar w:top="1134" w:right="1701" w:bottom="2268" w:left="1701" w:header="709" w:footer="709" w:gutter="0"/>
          <w:cols w:space="708"/>
          <w:docGrid w:linePitch="360"/>
        </w:sectPr>
      </w:pPr>
    </w:p>
    <w:p w:rsidR="001245D5" w:rsidRPr="00730A65" w:rsidRDefault="001C2E46" w:rsidP="001245D5">
      <w:pPr>
        <w:spacing w:line="480" w:lineRule="auto"/>
        <w:ind w:firstLine="36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En la tabla 5</w:t>
      </w:r>
      <w:bookmarkStart w:id="9" w:name="_GoBack"/>
      <w:bookmarkEnd w:id="9"/>
      <w:r w:rsidR="001245D5" w:rsidRPr="00730A65">
        <w:rPr>
          <w:rFonts w:cs="Times New Roman"/>
          <w:sz w:val="24"/>
          <w:szCs w:val="24"/>
        </w:rPr>
        <w:t xml:space="preserve"> se evaluó el criterio </w:t>
      </w:r>
      <w:r w:rsidR="001245D5" w:rsidRPr="00730A65">
        <w:rPr>
          <w:rFonts w:cs="Times New Roman"/>
          <w:i/>
          <w:sz w:val="24"/>
          <w:szCs w:val="24"/>
        </w:rPr>
        <w:t>Nivel de Ingresos</w:t>
      </w:r>
      <w:r w:rsidR="001245D5" w:rsidRPr="00730A65">
        <w:rPr>
          <w:rFonts w:cs="Times New Roman"/>
          <w:sz w:val="24"/>
          <w:szCs w:val="24"/>
        </w:rPr>
        <w:t xml:space="preserve"> y se</w:t>
      </w:r>
      <w:r w:rsidR="001245D5">
        <w:rPr>
          <w:rFonts w:cs="Times New Roman"/>
          <w:sz w:val="24"/>
          <w:szCs w:val="24"/>
        </w:rPr>
        <w:t xml:space="preserve"> pudo</w:t>
      </w:r>
      <w:r w:rsidR="001245D5" w:rsidRPr="00730A65">
        <w:rPr>
          <w:rFonts w:cs="Times New Roman"/>
          <w:sz w:val="24"/>
          <w:szCs w:val="24"/>
        </w:rPr>
        <w:t xml:space="preserve"> aprecia</w:t>
      </w:r>
      <w:r w:rsidR="001245D5">
        <w:rPr>
          <w:rFonts w:cs="Times New Roman"/>
          <w:sz w:val="24"/>
          <w:szCs w:val="24"/>
        </w:rPr>
        <w:t>r</w:t>
      </w:r>
      <w:r w:rsidR="001245D5" w:rsidRPr="00730A65">
        <w:rPr>
          <w:rFonts w:cs="Times New Roman"/>
          <w:sz w:val="24"/>
          <w:szCs w:val="24"/>
        </w:rPr>
        <w:t xml:space="preserve"> que el subsector Aceites obtiene el 66% de importancia, y Café, Cárnicos, Confitería, Lácteos, Molinería y Pescado aparecen con 6% cada uno.</w:t>
      </w:r>
    </w:p>
    <w:p w:rsidR="001245D5" w:rsidRDefault="001245D5" w:rsidP="001245D5">
      <w:pPr>
        <w:spacing w:line="480" w:lineRule="auto"/>
        <w:rPr>
          <w:rFonts w:cs="Times New Roman"/>
          <w:sz w:val="24"/>
          <w:szCs w:val="24"/>
        </w:rPr>
      </w:pPr>
    </w:p>
    <w:p w:rsidR="00DB2578" w:rsidRDefault="00DB2578"/>
    <w:sectPr w:rsidR="00DB25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984" w:rsidRDefault="00E20984" w:rsidP="001C2E46">
      <w:pPr>
        <w:spacing w:after="0" w:line="240" w:lineRule="auto"/>
      </w:pPr>
      <w:r>
        <w:separator/>
      </w:r>
    </w:p>
  </w:endnote>
  <w:endnote w:type="continuationSeparator" w:id="0">
    <w:p w:rsidR="00E20984" w:rsidRDefault="00E20984" w:rsidP="001C2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984" w:rsidRDefault="00E20984" w:rsidP="001C2E46">
      <w:pPr>
        <w:spacing w:after="0" w:line="240" w:lineRule="auto"/>
      </w:pPr>
      <w:r>
        <w:separator/>
      </w:r>
    </w:p>
  </w:footnote>
  <w:footnote w:type="continuationSeparator" w:id="0">
    <w:p w:rsidR="00E20984" w:rsidRDefault="00E20984" w:rsidP="001C2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3798"/>
    <w:multiLevelType w:val="hybridMultilevel"/>
    <w:tmpl w:val="8BDE285A"/>
    <w:lvl w:ilvl="0" w:tplc="58E47D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D20BBB"/>
    <w:multiLevelType w:val="hybridMultilevel"/>
    <w:tmpl w:val="841A504E"/>
    <w:lvl w:ilvl="0" w:tplc="240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7BB6632"/>
    <w:multiLevelType w:val="hybridMultilevel"/>
    <w:tmpl w:val="1ABCDF8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907A26"/>
    <w:multiLevelType w:val="hybridMultilevel"/>
    <w:tmpl w:val="219CB8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782849"/>
    <w:multiLevelType w:val="hybridMultilevel"/>
    <w:tmpl w:val="B7F4830A"/>
    <w:lvl w:ilvl="0" w:tplc="24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19C39ED"/>
    <w:multiLevelType w:val="hybridMultilevel"/>
    <w:tmpl w:val="B46C438E"/>
    <w:lvl w:ilvl="0" w:tplc="240A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1" w:hanging="360"/>
      </w:pPr>
    </w:lvl>
    <w:lvl w:ilvl="2" w:tplc="240A001B" w:tentative="1">
      <w:start w:val="1"/>
      <w:numFmt w:val="lowerRoman"/>
      <w:lvlText w:val="%3."/>
      <w:lvlJc w:val="right"/>
      <w:pPr>
        <w:ind w:left="1941" w:hanging="180"/>
      </w:pPr>
    </w:lvl>
    <w:lvl w:ilvl="3" w:tplc="240A000F" w:tentative="1">
      <w:start w:val="1"/>
      <w:numFmt w:val="decimal"/>
      <w:lvlText w:val="%4."/>
      <w:lvlJc w:val="left"/>
      <w:pPr>
        <w:ind w:left="2661" w:hanging="360"/>
      </w:pPr>
    </w:lvl>
    <w:lvl w:ilvl="4" w:tplc="240A0019" w:tentative="1">
      <w:start w:val="1"/>
      <w:numFmt w:val="lowerLetter"/>
      <w:lvlText w:val="%5."/>
      <w:lvlJc w:val="left"/>
      <w:pPr>
        <w:ind w:left="3381" w:hanging="360"/>
      </w:pPr>
    </w:lvl>
    <w:lvl w:ilvl="5" w:tplc="240A001B" w:tentative="1">
      <w:start w:val="1"/>
      <w:numFmt w:val="lowerRoman"/>
      <w:lvlText w:val="%6."/>
      <w:lvlJc w:val="right"/>
      <w:pPr>
        <w:ind w:left="4101" w:hanging="180"/>
      </w:pPr>
    </w:lvl>
    <w:lvl w:ilvl="6" w:tplc="240A000F" w:tentative="1">
      <w:start w:val="1"/>
      <w:numFmt w:val="decimal"/>
      <w:lvlText w:val="%7."/>
      <w:lvlJc w:val="left"/>
      <w:pPr>
        <w:ind w:left="4821" w:hanging="360"/>
      </w:pPr>
    </w:lvl>
    <w:lvl w:ilvl="7" w:tplc="240A0019" w:tentative="1">
      <w:start w:val="1"/>
      <w:numFmt w:val="lowerLetter"/>
      <w:lvlText w:val="%8."/>
      <w:lvlJc w:val="left"/>
      <w:pPr>
        <w:ind w:left="5541" w:hanging="360"/>
      </w:pPr>
    </w:lvl>
    <w:lvl w:ilvl="8" w:tplc="24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735A1A13"/>
    <w:multiLevelType w:val="hybridMultilevel"/>
    <w:tmpl w:val="4924758E"/>
    <w:lvl w:ilvl="0" w:tplc="240A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D5"/>
    <w:rsid w:val="001245D5"/>
    <w:rsid w:val="001C2E46"/>
    <w:rsid w:val="00D446D9"/>
    <w:rsid w:val="00DB2578"/>
    <w:rsid w:val="00E2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B1E847"/>
  <w15:chartTrackingRefBased/>
  <w15:docId w15:val="{AB0ABDD1-4468-4D80-8977-AA5721F7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liases w:val="Figuras"/>
    <w:qFormat/>
    <w:rsid w:val="001245D5"/>
    <w:pPr>
      <w:spacing w:after="200" w:line="276" w:lineRule="auto"/>
    </w:pPr>
    <w:rPr>
      <w:rFonts w:ascii="Times New Roman" w:hAnsi="Times New Roman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245D5"/>
    <w:pPr>
      <w:ind w:left="720"/>
      <w:contextualSpacing/>
    </w:pPr>
  </w:style>
  <w:style w:type="table" w:styleId="Tablaconcuadrcula">
    <w:name w:val="Table Grid"/>
    <w:basedOn w:val="Tablanormal"/>
    <w:uiPriority w:val="59"/>
    <w:rsid w:val="001245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1C2E4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C2E4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2E46"/>
    <w:rPr>
      <w:rFonts w:ascii="Times New Roman" w:hAnsi="Times New Roman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1C2E4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2E4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932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PULIDO REY</dc:creator>
  <cp:keywords/>
  <dc:description/>
  <cp:lastModifiedBy>CAMILO ANDRES PULIDO REY</cp:lastModifiedBy>
  <cp:revision>3</cp:revision>
  <dcterms:created xsi:type="dcterms:W3CDTF">2016-11-09T15:55:00Z</dcterms:created>
  <dcterms:modified xsi:type="dcterms:W3CDTF">2016-11-09T15:59:00Z</dcterms:modified>
</cp:coreProperties>
</file>